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Mission Statement:</w:t>
      </w:r>
    </w:p>
    <w:p w:rsidR="00000000" w:rsidDel="00000000" w:rsidP="00000000" w:rsidRDefault="00000000" w:rsidRPr="00000000" w14:paraId="00000002">
      <w:pPr>
        <w:ind w:left="0" w:firstLine="0"/>
        <w:rPr/>
      </w:pPr>
      <w:r w:rsidDel="00000000" w:rsidR="00000000" w:rsidRPr="00000000">
        <w:rPr>
          <w:rtl w:val="0"/>
        </w:rPr>
      </w:r>
    </w:p>
    <w:p w:rsidR="00000000" w:rsidDel="00000000" w:rsidP="00000000" w:rsidRDefault="00000000" w:rsidRPr="00000000" w14:paraId="00000003">
      <w:pPr>
        <w:ind w:left="0" w:firstLine="0"/>
        <w:rPr/>
      </w:pPr>
      <w:r w:rsidDel="00000000" w:rsidR="00000000" w:rsidRPr="00000000">
        <w:rPr>
          <w:rtl w:val="0"/>
        </w:rPr>
        <w:t xml:space="preserve">Our mission is to equip users with a fundamental comprehension of urbanization while offering visual representation of its proliferation in Canada, with a focus on the Southern Ontario region, specifically the Toronto Census Metropolitan Area (CMA). We aim to illustrate the impact of uncontrolled urban growth, particularly on the environment, through clear descriptions and visual aids. Furthermore, we seek to highlight the threat urbanization poses to natural areas within the CMA, such as Ontario’s Greenbelt. In addition to raising awareness, we strive to provide valuable insights into potential solutions to mitigate the adverse effects of urbanization, fostering informed decision-making and sustainable practices for the future.</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Characteristics of our app</w:t>
      </w:r>
      <w:r w:rsidDel="00000000" w:rsidR="00000000" w:rsidRPr="00000000">
        <w:rPr>
          <w:rtl w:val="0"/>
        </w:rPr>
        <w:t xml:space="preserve">:</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Our app provides a straightforward introduction to the topic of urbanization and the issues associated with the topic.</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Users can learn about Ontario’s Greenbelt and which currently protected areas are susceptible to future development. Data for the greenbelt include the regional categories, towns and villages, hamlets (undeveloped settlements), riverways, specialty crops, and parks (provincial and municipal). </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Data showing urban growth from 1971 to 2020 that are categorized as established areas (population of at least 500 residents).</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Users can overlap the data layers to see the extent of the urban areas and possible encroachment onto the Greenbelt. </w:t>
      </w:r>
    </w:p>
    <w:p w:rsidR="00000000" w:rsidDel="00000000" w:rsidP="00000000" w:rsidRDefault="00000000" w:rsidRPr="00000000" w14:paraId="0000000A">
      <w:pPr>
        <w:ind w:left="0" w:firstLine="0"/>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Experience Builder link: </w:t>
      </w:r>
      <w:hyperlink r:id="rId6">
        <w:r w:rsidDel="00000000" w:rsidR="00000000" w:rsidRPr="00000000">
          <w:rPr>
            <w:color w:val="1155cc"/>
            <w:u w:val="single"/>
            <w:rtl w:val="0"/>
          </w:rPr>
          <w:t xml:space="preserve">https://experience.arcgis.com/experience/10a4405ff6a94cc8b87dffc3c01c0d45/</w:t>
        </w:r>
      </w:hyperlink>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Website link:</w:t>
      </w:r>
    </w:p>
    <w:p w:rsidR="00000000" w:rsidDel="00000000" w:rsidP="00000000" w:rsidRDefault="00000000" w:rsidRPr="00000000" w14:paraId="0000000F">
      <w:pPr>
        <w:rPr/>
      </w:pPr>
      <w:hyperlink r:id="rId7">
        <w:r w:rsidDel="00000000" w:rsidR="00000000" w:rsidRPr="00000000">
          <w:rPr>
            <w:color w:val="1155cc"/>
            <w:u w:val="single"/>
            <w:rtl w:val="0"/>
          </w:rPr>
          <w:t xml:space="preserve">Raccoon Tycoons (vinn03.dev)</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xperience.arcgis.com/experience/10a4405ff6a94cc8b87dffc3c01c0d45/" TargetMode="External"/><Relationship Id="rId7" Type="http://schemas.openxmlformats.org/officeDocument/2006/relationships/hyperlink" Target="https://www.vinn03.dev/urbantar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